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9A6CF" w14:textId="77777777" w:rsidR="004F054D" w:rsidRDefault="004F054D">
      <w:pPr>
        <w:keepNext/>
        <w:pBdr>
          <w:top w:val="nil"/>
          <w:left w:val="nil"/>
          <w:bottom w:val="nil"/>
          <w:right w:val="nil"/>
          <w:between w:val="nil"/>
        </w:pBdr>
        <w:ind w:left="0"/>
        <w:jc w:val="left"/>
        <w:rPr>
          <w:rFonts w:eastAsia="Arial"/>
          <w:b/>
          <w:color w:val="000000"/>
          <w:sz w:val="32"/>
          <w:szCs w:val="32"/>
        </w:rPr>
      </w:pPr>
    </w:p>
    <w:p w14:paraId="1FB9A6D0" w14:textId="77777777" w:rsidR="004F054D" w:rsidRDefault="00DF7854">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Order Schedule 8 (Business Continuity and Disaster Recovery)</w:t>
      </w:r>
    </w:p>
    <w:p w14:paraId="1FB9A6D1"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14:paraId="1FB9A6D2"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65"/>
        <w:gridCol w:w="32"/>
        <w:gridCol w:w="5075"/>
      </w:tblGrid>
      <w:tr w:rsidR="004F054D" w14:paraId="1FB9A6D5" w14:textId="77777777">
        <w:tc>
          <w:tcPr>
            <w:tcW w:w="3097" w:type="dxa"/>
            <w:gridSpan w:val="2"/>
          </w:tcPr>
          <w:p w14:paraId="1FB9A6D3"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1FB9A6D4"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 of this Schedule;</w:t>
            </w:r>
          </w:p>
        </w:tc>
      </w:tr>
      <w:tr w:rsidR="004F054D" w14:paraId="1FB9A6D8" w14:textId="77777777">
        <w:tc>
          <w:tcPr>
            <w:tcW w:w="3097" w:type="dxa"/>
            <w:gridSpan w:val="2"/>
          </w:tcPr>
          <w:p w14:paraId="1FB9A6D6"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1FB9A6D7"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2.3.2 of this Schedule;</w:t>
            </w:r>
          </w:p>
        </w:tc>
      </w:tr>
      <w:tr w:rsidR="004F054D" w14:paraId="1FB9A6DB" w14:textId="77777777">
        <w:tc>
          <w:tcPr>
            <w:tcW w:w="3065" w:type="dxa"/>
          </w:tcPr>
          <w:p w14:paraId="1FB9A6D9"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107" w:type="dxa"/>
            <w:gridSpan w:val="2"/>
          </w:tcPr>
          <w:p w14:paraId="1FB9A6DA" w14:textId="77777777" w:rsidR="004F054D" w:rsidRDefault="00DF7854" w:rsidP="00BA047E">
            <w:pPr>
              <w:pBdr>
                <w:top w:val="nil"/>
                <w:left w:val="nil"/>
                <w:bottom w:val="nil"/>
                <w:right w:val="nil"/>
                <w:between w:val="nil"/>
              </w:pBdr>
              <w:tabs>
                <w:tab w:val="left" w:pos="-9"/>
                <w:tab w:val="left" w:pos="-179"/>
              </w:tabs>
              <w:spacing w:after="120"/>
              <w:ind w:left="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4F054D" w14:paraId="1FB9A6DE" w14:textId="77777777">
        <w:tc>
          <w:tcPr>
            <w:tcW w:w="3097" w:type="dxa"/>
            <w:gridSpan w:val="2"/>
          </w:tcPr>
          <w:p w14:paraId="1FB9A6DC" w14:textId="77777777" w:rsidR="004F054D" w:rsidRDefault="004F054D">
            <w:pPr>
              <w:pBdr>
                <w:top w:val="nil"/>
                <w:left w:val="nil"/>
                <w:bottom w:val="nil"/>
                <w:right w:val="nil"/>
                <w:between w:val="nil"/>
              </w:pBdr>
              <w:spacing w:after="120"/>
              <w:ind w:left="0"/>
              <w:jc w:val="left"/>
              <w:rPr>
                <w:rFonts w:eastAsia="Arial"/>
                <w:b/>
                <w:color w:val="000000"/>
                <w:sz w:val="24"/>
                <w:szCs w:val="24"/>
              </w:rPr>
            </w:pPr>
          </w:p>
        </w:tc>
        <w:tc>
          <w:tcPr>
            <w:tcW w:w="5075" w:type="dxa"/>
          </w:tcPr>
          <w:p w14:paraId="1FB9A6DD" w14:textId="77777777" w:rsidR="004F054D" w:rsidRDefault="004F054D">
            <w:pPr>
              <w:pBdr>
                <w:top w:val="nil"/>
                <w:left w:val="nil"/>
                <w:bottom w:val="nil"/>
                <w:right w:val="nil"/>
                <w:between w:val="nil"/>
              </w:pBdr>
              <w:tabs>
                <w:tab w:val="left" w:pos="-9"/>
              </w:tabs>
              <w:spacing w:after="120"/>
              <w:ind w:left="170" w:hanging="170"/>
              <w:jc w:val="left"/>
              <w:rPr>
                <w:rFonts w:eastAsia="Arial"/>
                <w:color w:val="000000"/>
                <w:sz w:val="24"/>
                <w:szCs w:val="24"/>
              </w:rPr>
            </w:pPr>
          </w:p>
        </w:tc>
      </w:tr>
      <w:tr w:rsidR="004F054D" w14:paraId="1FB9A6E1" w14:textId="77777777">
        <w:tc>
          <w:tcPr>
            <w:tcW w:w="3097" w:type="dxa"/>
            <w:gridSpan w:val="2"/>
          </w:tcPr>
          <w:p w14:paraId="1FB9A6DF"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1FB9A6E0"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2.3.3 of this Schedule;</w:t>
            </w:r>
          </w:p>
        </w:tc>
      </w:tr>
      <w:tr w:rsidR="004F054D" w14:paraId="1FB9A6E4" w14:textId="77777777">
        <w:tc>
          <w:tcPr>
            <w:tcW w:w="3097" w:type="dxa"/>
            <w:gridSpan w:val="2"/>
          </w:tcPr>
          <w:p w14:paraId="1FB9A6E2"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1FB9A6E3"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bookmarkStart w:id="1" w:name="_GoBack"/>
        <w:bookmarkEnd w:id="1"/>
      </w:tr>
      <w:tr w:rsidR="004F054D" w14:paraId="1FB9A6E7" w14:textId="77777777">
        <w:tc>
          <w:tcPr>
            <w:tcW w:w="3097" w:type="dxa"/>
            <w:gridSpan w:val="2"/>
          </w:tcPr>
          <w:p w14:paraId="1FB9A6E5" w14:textId="77777777" w:rsidR="004F054D" w:rsidRDefault="004F054D">
            <w:pPr>
              <w:pBdr>
                <w:top w:val="nil"/>
                <w:left w:val="nil"/>
                <w:bottom w:val="nil"/>
                <w:right w:val="nil"/>
                <w:between w:val="nil"/>
              </w:pBdr>
              <w:spacing w:after="120"/>
              <w:ind w:left="-108"/>
              <w:jc w:val="left"/>
              <w:rPr>
                <w:rFonts w:eastAsia="Arial"/>
                <w:b/>
                <w:color w:val="000000"/>
                <w:sz w:val="24"/>
                <w:szCs w:val="24"/>
              </w:rPr>
            </w:pPr>
          </w:p>
        </w:tc>
        <w:tc>
          <w:tcPr>
            <w:tcW w:w="5075" w:type="dxa"/>
          </w:tcPr>
          <w:p w14:paraId="1FB9A6E6" w14:textId="77777777" w:rsidR="004F054D" w:rsidRDefault="004F054D" w:rsidP="00BA047E">
            <w:pPr>
              <w:pBdr>
                <w:top w:val="nil"/>
                <w:left w:val="nil"/>
                <w:bottom w:val="nil"/>
                <w:right w:val="nil"/>
                <w:between w:val="nil"/>
              </w:pBdr>
              <w:tabs>
                <w:tab w:val="left" w:pos="-9"/>
                <w:tab w:val="left" w:pos="-179"/>
              </w:tabs>
              <w:spacing w:after="120"/>
              <w:ind w:left="0"/>
              <w:jc w:val="left"/>
              <w:rPr>
                <w:rFonts w:eastAsia="Arial"/>
                <w:color w:val="000000"/>
                <w:sz w:val="24"/>
                <w:szCs w:val="24"/>
              </w:rPr>
            </w:pPr>
          </w:p>
        </w:tc>
      </w:tr>
      <w:tr w:rsidR="004F054D" w14:paraId="1FB9A6EA" w14:textId="77777777">
        <w:trPr>
          <w:trHeight w:val="567"/>
        </w:trPr>
        <w:tc>
          <w:tcPr>
            <w:tcW w:w="3097" w:type="dxa"/>
            <w:gridSpan w:val="2"/>
          </w:tcPr>
          <w:p w14:paraId="1FB9A6E8"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1FB9A6E9"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4F054D" w14:paraId="1FB9A6ED" w14:textId="77777777">
        <w:trPr>
          <w:trHeight w:val="567"/>
        </w:trPr>
        <w:tc>
          <w:tcPr>
            <w:tcW w:w="3097" w:type="dxa"/>
            <w:gridSpan w:val="2"/>
          </w:tcPr>
          <w:p w14:paraId="1FB9A6EB"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1FB9A6EC"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6.2 of this Schedule; and</w:t>
            </w:r>
          </w:p>
        </w:tc>
      </w:tr>
      <w:tr w:rsidR="004F054D" w14:paraId="1FB9A6F0" w14:textId="77777777">
        <w:tc>
          <w:tcPr>
            <w:tcW w:w="3097" w:type="dxa"/>
            <w:gridSpan w:val="2"/>
          </w:tcPr>
          <w:p w14:paraId="1FB9A6EE" w14:textId="77777777" w:rsidR="004F054D" w:rsidRDefault="00DF7854">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1FB9A6EF" w14:textId="77777777" w:rsidR="004F054D" w:rsidRDefault="00DF7854" w:rsidP="00BA047E">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w:t>
            </w:r>
          </w:p>
        </w:tc>
      </w:tr>
    </w:tbl>
    <w:p w14:paraId="1FB9A6F1"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1FB9A6F2"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t>The Buyer and the Supplier recognise that, where specified in DPS Schedule 4 (DPS Management), CCS shall have the right to enforce the Buyer's rights under this Schedule.</w:t>
      </w:r>
    </w:p>
    <w:p w14:paraId="1FB9A6F3"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At least ninety (90) Working Days prior to the Start Date the Supplier shall prepare and deliver to the Buyer for the Buyer’s written approval a plan (a “BCDR Plan”), which shall detail the processes and arrangements that the Supplier shall follow to:</w:t>
      </w:r>
    </w:p>
    <w:p w14:paraId="1FB9A6F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ensure continuity of the business processes and operations supported by the Services following any failure or disruption of any element of the Deliverables; and</w:t>
      </w:r>
    </w:p>
    <w:p w14:paraId="1FB9A6F5"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1FB9A6F6"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1FB9A6F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 xml:space="preserve">Section 1 which shall set out general principles applicable to the BCDR Plan; </w:t>
      </w:r>
    </w:p>
    <w:p w14:paraId="1FB9A6F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1FB9A6F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1FB9A6FA"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FB9A6FB"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3dy6vkm" w:colFirst="0" w:colLast="0"/>
      <w:bookmarkEnd w:id="7"/>
      <w:r>
        <w:rPr>
          <w:rFonts w:ascii="Arial Bold" w:eastAsia="Arial Bold" w:hAnsi="Arial Bold" w:cs="Arial Bold"/>
          <w:b/>
          <w:color w:val="000000"/>
          <w:sz w:val="24"/>
          <w:szCs w:val="24"/>
        </w:rPr>
        <w:t>General Principles of the BCDR Plan (Section 1)</w:t>
      </w:r>
    </w:p>
    <w:p w14:paraId="1FB9A6FC"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1FB9A6FD"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1FB9A6FE"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1FB9A6FF"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1FB9A70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1FB9A70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1FB9A702" w14:textId="77777777" w:rsidR="004F054D" w:rsidRDefault="00DF7854">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1FB9A703"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1FB9A704"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1FB9A705"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Related Supplier; and</w:t>
      </w:r>
    </w:p>
    <w:p w14:paraId="1FB9A706" w14:textId="77777777" w:rsidR="004F054D" w:rsidRDefault="00DF7854">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1FB9A70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1FB9A70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1FB9A70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1FB9A70A"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1FB9A70B"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B9A70C"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1FB9A70D"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1FB9A70E"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1FB9A70F"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1FB9A71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1FB9A71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1FB9A712"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1FB9A713"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1FB9A714"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1FB9A715"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8" w:name="_heading=h.1t3h5sf" w:colFirst="0" w:colLast="0"/>
      <w:bookmarkEnd w:id="8"/>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1FB9A716"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alternative processes, options and responsibilities that may be adopted in the event of a failure in or disruption to the provision of Deliverables; and</w:t>
      </w:r>
    </w:p>
    <w:p w14:paraId="1FB9A71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1FB9A718"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1FB9A71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1FB9A71A"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14:paraId="1FB9A71B"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or Service Levels in respect of the provision of other Deliverables during any period of invocation of the Business Continuity Plan; and</w:t>
      </w:r>
    </w:p>
    <w:p w14:paraId="1FB9A71C"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1FB9A71D"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1FB9A71E"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1FB9A71F"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1FB9A72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1FB9A72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1FB9A722"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1FB9A723"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1FB9A724"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1FB9A725"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1FB9A726"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1FB9A727"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1FB9A72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1FB9A72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Performance Indicators with respect to the provision of the disaster recovery services and details of any agreed relaxation to the Performance Indicators or Service Levels in respect of the </w:t>
      </w:r>
      <w:r>
        <w:rPr>
          <w:rFonts w:eastAsia="Arial"/>
          <w:color w:val="000000"/>
          <w:sz w:val="24"/>
          <w:szCs w:val="24"/>
        </w:rPr>
        <w:lastRenderedPageBreak/>
        <w:t>provision of other Deliverables during any period of invocation of the Disaster Recovery Plan;</w:t>
      </w:r>
    </w:p>
    <w:p w14:paraId="1FB9A72A"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1FB9A72B"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1FB9A72C"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1FB9A72D" w14:textId="77777777" w:rsidR="004F054D" w:rsidRDefault="00DF7854">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1FB9A72E"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Supplier shall review the BCDR Plan:</w:t>
      </w:r>
    </w:p>
    <w:p w14:paraId="1FB9A72F"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on a regular basis and as a minimum once every six (6) Months;</w:t>
      </w:r>
    </w:p>
    <w:p w14:paraId="1FB9A73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within three (3) calendar Months of the BCDR Plan (or any part) having been invoked pursuant to Paragraph 7; and</w:t>
      </w:r>
    </w:p>
    <w:p w14:paraId="1FB9A73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1FB9A732"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1FB9A733"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1FB9A734"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1FB9A735"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FB9A736" w14:textId="77777777" w:rsidR="004F054D" w:rsidRDefault="00DF7854">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2jxsxqh" w:colFirst="0" w:colLast="0"/>
      <w:bookmarkEnd w:id="18"/>
      <w:r>
        <w:rPr>
          <w:rFonts w:ascii="Arial Bold" w:eastAsia="Arial Bold" w:hAnsi="Arial Bold" w:cs="Arial Bold"/>
          <w:b/>
          <w:color w:val="000000"/>
          <w:sz w:val="24"/>
          <w:szCs w:val="24"/>
        </w:rPr>
        <w:t>Testing the BCDR Plan</w:t>
      </w:r>
    </w:p>
    <w:p w14:paraId="1FB9A737"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z337ya" w:colFirst="0" w:colLast="0"/>
      <w:bookmarkEnd w:id="19"/>
      <w:r>
        <w:rPr>
          <w:rFonts w:eastAsia="Arial"/>
          <w:color w:val="000000"/>
          <w:sz w:val="24"/>
          <w:szCs w:val="24"/>
        </w:rPr>
        <w:t xml:space="preserve">The Supplier shall test the BCDR Plan: </w:t>
      </w:r>
    </w:p>
    <w:p w14:paraId="1FB9A738"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1FB9A739"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1FB9A73A"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1FB9A73B"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1FB9A73C"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1FB9A73D"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1FB9A73E" w14:textId="77777777" w:rsidR="004F054D" w:rsidRDefault="00DF7854">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1FB9A73F"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1FB9A740"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1FB9A741" w14:textId="77777777" w:rsidR="004F054D" w:rsidRDefault="00DF7854">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FB9A742"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FB9A743" w14:textId="77777777" w:rsidR="004F054D" w:rsidRDefault="00DF785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4i7ojhp" w:colFirst="0" w:colLast="0"/>
      <w:bookmarkEnd w:id="22"/>
      <w:r>
        <w:rPr>
          <w:rFonts w:ascii="Arial Bold" w:eastAsia="Arial Bold" w:hAnsi="Arial Bold" w:cs="Arial Bold"/>
          <w:b/>
          <w:color w:val="000000"/>
          <w:sz w:val="24"/>
          <w:szCs w:val="24"/>
        </w:rPr>
        <w:t>Invoking the BCDR Plan</w:t>
      </w:r>
    </w:p>
    <w:p w14:paraId="1FB9A744"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w:t>
      </w:r>
      <w:r>
        <w:rPr>
          <w:rFonts w:eastAsia="Arial"/>
          <w:color w:val="000000"/>
          <w:sz w:val="24"/>
          <w:szCs w:val="24"/>
        </w:rPr>
        <w:lastRenderedPageBreak/>
        <w:t>promptly of such invocation). In all other instances the Supplier shall invoke or test the BCDR Plan only with the prior consent of the Buyer.</w:t>
      </w:r>
    </w:p>
    <w:p w14:paraId="1FB9A745" w14:textId="77777777" w:rsidR="004F054D" w:rsidRDefault="00DF7854">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1FB9A746" w14:textId="77777777" w:rsidR="004F054D" w:rsidRDefault="00DF7854">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4F054D">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DBB0B" w14:textId="77777777" w:rsidR="00571DC0" w:rsidRDefault="00571DC0">
      <w:pPr>
        <w:spacing w:after="0"/>
      </w:pPr>
      <w:r>
        <w:separator/>
      </w:r>
    </w:p>
  </w:endnote>
  <w:endnote w:type="continuationSeparator" w:id="0">
    <w:p w14:paraId="322A9E63" w14:textId="77777777" w:rsidR="00571DC0" w:rsidRDefault="00571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A74F" w14:textId="77777777" w:rsidR="004F054D" w:rsidRDefault="004F054D">
    <w:pPr>
      <w:tabs>
        <w:tab w:val="center" w:pos="4513"/>
        <w:tab w:val="right" w:pos="9026"/>
      </w:tabs>
      <w:spacing w:after="0"/>
      <w:ind w:left="0"/>
      <w:rPr>
        <w:rFonts w:ascii="Calibri" w:eastAsia="Calibri" w:hAnsi="Calibri" w:cs="Calibri"/>
        <w:color w:val="A6A6A6"/>
      </w:rPr>
    </w:pPr>
  </w:p>
  <w:p w14:paraId="1FB9A750"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1FB9A751" w14:textId="2E86816A"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CF131F">
      <w:rPr>
        <w:rFonts w:eastAsia="Arial"/>
        <w:noProof/>
        <w:color w:val="000000"/>
        <w:sz w:val="20"/>
        <w:szCs w:val="20"/>
      </w:rPr>
      <w:t>7</w:t>
    </w:r>
    <w:r>
      <w:rPr>
        <w:rFonts w:eastAsia="Arial"/>
        <w:color w:val="000000"/>
        <w:sz w:val="20"/>
        <w:szCs w:val="20"/>
      </w:rPr>
      <w:fldChar w:fldCharType="end"/>
    </w:r>
  </w:p>
  <w:p w14:paraId="1FB9A752" w14:textId="77777777" w:rsidR="004F054D" w:rsidRDefault="00DF7854">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A753"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1FB9A754"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1FB9A755" w14:textId="77777777" w:rsidR="004F054D" w:rsidRDefault="00DF785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B09A6" w14:textId="77777777" w:rsidR="00571DC0" w:rsidRDefault="00571DC0">
      <w:pPr>
        <w:spacing w:after="0"/>
      </w:pPr>
      <w:r>
        <w:separator/>
      </w:r>
    </w:p>
  </w:footnote>
  <w:footnote w:type="continuationSeparator" w:id="0">
    <w:p w14:paraId="4E319A71" w14:textId="77777777" w:rsidR="00571DC0" w:rsidRDefault="00571D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A74B" w14:textId="77777777" w:rsidR="004F054D" w:rsidRDefault="00DF7854">
    <w:pPr>
      <w:tabs>
        <w:tab w:val="center" w:pos="4513"/>
        <w:tab w:val="right" w:pos="9026"/>
      </w:tabs>
      <w:spacing w:after="0"/>
      <w:ind w:left="0"/>
      <w:jc w:val="left"/>
      <w:rPr>
        <w:sz w:val="20"/>
        <w:szCs w:val="20"/>
      </w:rPr>
    </w:pPr>
    <w:r>
      <w:rPr>
        <w:sz w:val="20"/>
        <w:szCs w:val="20"/>
      </w:rPr>
      <w:t>Order Schedule 8 (Business Continuity and Disaster Recovery)</w:t>
    </w:r>
  </w:p>
  <w:p w14:paraId="1FB9A74C" w14:textId="77777777" w:rsidR="004F054D" w:rsidRDefault="00DF7854">
    <w:pPr>
      <w:tabs>
        <w:tab w:val="center" w:pos="4513"/>
        <w:tab w:val="right" w:pos="9026"/>
      </w:tabs>
      <w:spacing w:after="0"/>
      <w:ind w:left="0"/>
      <w:jc w:val="left"/>
      <w:rPr>
        <w:sz w:val="20"/>
        <w:szCs w:val="20"/>
      </w:rPr>
    </w:pPr>
    <w:r>
      <w:rPr>
        <w:sz w:val="20"/>
        <w:szCs w:val="20"/>
      </w:rPr>
      <w:t>Order Ref:</w:t>
    </w:r>
  </w:p>
  <w:p w14:paraId="1FB9A74D" w14:textId="77777777" w:rsidR="004F054D" w:rsidRDefault="00DF7854">
    <w:pPr>
      <w:tabs>
        <w:tab w:val="center" w:pos="4513"/>
        <w:tab w:val="right" w:pos="9026"/>
      </w:tabs>
      <w:spacing w:after="0"/>
      <w:ind w:left="0"/>
      <w:jc w:val="left"/>
      <w:rPr>
        <w:sz w:val="20"/>
        <w:szCs w:val="20"/>
      </w:rPr>
    </w:pPr>
    <w:r>
      <w:rPr>
        <w:sz w:val="20"/>
        <w:szCs w:val="20"/>
      </w:rPr>
      <w:t>Crown Copyright 2021</w:t>
    </w:r>
  </w:p>
  <w:p w14:paraId="1FB9A74E" w14:textId="77777777" w:rsidR="004F054D" w:rsidRDefault="004F054D">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27184"/>
    <w:multiLevelType w:val="multilevel"/>
    <w:tmpl w:val="43D8045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D333E69"/>
    <w:multiLevelType w:val="multilevel"/>
    <w:tmpl w:val="21B2040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54D"/>
    <w:rsid w:val="00043D1D"/>
    <w:rsid w:val="004E1F99"/>
    <w:rsid w:val="004F054D"/>
    <w:rsid w:val="00571DC0"/>
    <w:rsid w:val="007A1386"/>
    <w:rsid w:val="00BA047E"/>
    <w:rsid w:val="00CF131F"/>
    <w:rsid w:val="00DE462F"/>
    <w:rsid w:val="00DF7854"/>
    <w:rsid w:val="00E769A9"/>
    <w:rsid w:val="00F01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9A6CF"/>
  <w15:docId w15:val="{C937DAFF-5A81-4EA8-82E6-DCBE44B6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XtiQs4/ikeOihuP4ArDscZ+WYA==">AMUW2mW+siGYv57e2aGcIc1Af6L/DjnSV/gsU20l6FEWN/+N+gfR+aFYPRf96gthnru1mPEV9Zm38r6cK17TJ4B1URcaA7X2ZIifZh1ZOrEwu5L+JlPsCJmC1Y9xO0j+UwBHCcXBRtd19uyZ61IxM+hrplkL17JypHPH1CmmyX2M+MdiYfFU3VCJjVhPxp4zfkpkG2YRMOQLTKAE4abWFcZJmFWThhJbKES21Du9m110yZj1PVP+mHzn2Qieq7E6tHdf9IMYbLS+UqAyu3XI7b+RXUraSg7kba/axbrvSawLRSXxjUL/zkEvvOfHiqRj5He2QpHoxV4ZYroMWr3yhxVTS/fVOYm7r3aTyvduo1BghEQbA2FCycTPmBALOfesdc36B43QryOEV15nC3IMmKpj9wVD267M6CtfypsP++l8/sU0urZ+QK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73D2FB-8545-4A34-BB10-41990DAB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1994</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2025-10-15T15:27:00Z</dcterms:created>
  <dcterms:modified xsi:type="dcterms:W3CDTF">2025-10-15T15:27:00Z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2025-06-06T07:31:22Z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6ab96e0a-8d93-43ff-a813-c541f104d488</vt:lpwstr>
  </property>
  <property fmtid="{D5CDD505-2E9C-101B-9397-08002B2CF9AE}" pid="9" name="MSIP_Label_bfcbf6d0-03b3-4cea-b8dd-cbea814921e4_ContentBits">
    <vt:lpwstr>0</vt:lpwstr>
  </property>
</Properties>
</file>